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94" w:tblpY="740"/>
        <w:tblW w:w="23678" w:type="dxa"/>
        <w:tblCellMar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4967"/>
        <w:gridCol w:w="4536"/>
        <w:gridCol w:w="5670"/>
        <w:gridCol w:w="4673"/>
        <w:gridCol w:w="3832"/>
      </w:tblGrid>
      <w:tr w:rsidR="00D818C3" w14:paraId="09643466" w14:textId="77777777" w:rsidTr="00F3798D">
        <w:tc>
          <w:tcPr>
            <w:tcW w:w="23678" w:type="dxa"/>
            <w:gridSpan w:val="5"/>
          </w:tcPr>
          <w:p w14:paraId="77E56A68" w14:textId="37198154" w:rsidR="003656E5" w:rsidRDefault="003656E5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sz w:val="32"/>
                <w:szCs w:val="32"/>
              </w:rPr>
            </w:pPr>
          </w:p>
          <w:p w14:paraId="594C35EB" w14:textId="77777777" w:rsidR="0012002B" w:rsidRDefault="00C264A7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sz w:val="32"/>
                <w:szCs w:val="32"/>
              </w:rPr>
            </w:pPr>
            <w:r>
              <w:rPr>
                <w:rFonts w:ascii="Century Gothic" w:eastAsia="Yu Mincho" w:hAnsi="Century Gothic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6C2DB984" wp14:editId="3132E34E">
                  <wp:extent cx="2057400" cy="590550"/>
                  <wp:effectExtent l="0" t="0" r="0" b="0"/>
                  <wp:docPr id="1565119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Yu Mincho" w:hAnsi="Century Gothic" w:cs="Times New Roman"/>
                <w:b/>
                <w:sz w:val="32"/>
                <w:szCs w:val="32"/>
              </w:rPr>
              <w:t xml:space="preserve">    </w:t>
            </w:r>
          </w:p>
          <w:p w14:paraId="1AA91F80" w14:textId="33DA506D" w:rsidR="00D818C3" w:rsidRDefault="00D818C3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sz w:val="32"/>
                <w:szCs w:val="32"/>
              </w:rPr>
            </w:pPr>
            <w:r w:rsidRPr="007A65B6">
              <w:rPr>
                <w:rFonts w:ascii="Century Gothic" w:eastAsia="Yu Mincho" w:hAnsi="Century Gothic" w:cs="Times New Roman"/>
                <w:b/>
                <w:sz w:val="32"/>
                <w:szCs w:val="32"/>
              </w:rPr>
              <w:t>Campbell River School District 72</w:t>
            </w:r>
            <w:r w:rsidR="00E42988">
              <w:rPr>
                <w:rFonts w:ascii="Century Gothic" w:eastAsia="Yu Mincho" w:hAnsi="Century Gothic" w:cs="Times New Roman"/>
                <w:b/>
                <w:sz w:val="32"/>
                <w:szCs w:val="32"/>
              </w:rPr>
              <w:t xml:space="preserve"> - </w:t>
            </w:r>
            <w:r w:rsidRPr="007A65B6">
              <w:rPr>
                <w:rFonts w:ascii="Century Gothic" w:eastAsia="Yu Mincho" w:hAnsi="Century Gothic" w:cs="Times New Roman"/>
                <w:b/>
                <w:sz w:val="32"/>
                <w:szCs w:val="32"/>
              </w:rPr>
              <w:t>Elementary Literacy Framework</w:t>
            </w:r>
          </w:p>
          <w:p w14:paraId="7238D585" w14:textId="1A7FCCA3" w:rsidR="003656E5" w:rsidRPr="00E42988" w:rsidRDefault="005A3D9C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sz w:val="32"/>
                <w:szCs w:val="32"/>
              </w:rPr>
            </w:pPr>
            <w:r>
              <w:rPr>
                <w:rFonts w:ascii="Century Gothic" w:eastAsia="Yu Mincho" w:hAnsi="Century Gothic" w:cs="Times New Roman"/>
                <w:b/>
                <w:sz w:val="32"/>
                <w:szCs w:val="32"/>
              </w:rPr>
              <w:t>Rich Literacy Environments</w:t>
            </w:r>
          </w:p>
        </w:tc>
      </w:tr>
      <w:tr w:rsidR="00C90DD3" w14:paraId="088C44CA" w14:textId="77777777" w:rsidTr="00F3798D">
        <w:tc>
          <w:tcPr>
            <w:tcW w:w="4967" w:type="dxa"/>
          </w:tcPr>
          <w:p w14:paraId="75A1D0B4" w14:textId="77777777" w:rsidR="00D81633" w:rsidRDefault="00D81633" w:rsidP="00F3798D">
            <w:pPr>
              <w:widowControl w:val="0"/>
              <w:suppressAutoHyphens/>
              <w:overflowPunct w:val="0"/>
              <w:autoSpaceDN w:val="0"/>
              <w:spacing w:before="12" w:line="384" w:lineRule="exact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5936AE6" w14:textId="3435238E" w:rsidR="00DD168B" w:rsidRPr="007A65B6" w:rsidRDefault="00DD168B" w:rsidP="00F3798D">
            <w:pPr>
              <w:widowControl w:val="0"/>
              <w:suppressAutoHyphens/>
              <w:overflowPunct w:val="0"/>
              <w:autoSpaceDN w:val="0"/>
              <w:spacing w:before="12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  <w:r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Robust Literacy-Focused Schools Promote:</w:t>
            </w:r>
          </w:p>
        </w:tc>
        <w:tc>
          <w:tcPr>
            <w:tcW w:w="4536" w:type="dxa"/>
          </w:tcPr>
          <w:p w14:paraId="6AAE58CA" w14:textId="77777777" w:rsidR="00D81633" w:rsidRDefault="00D81633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F07990" w14:textId="5BD08C97" w:rsidR="00C74890" w:rsidRDefault="0023232A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  <w:r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Integral</w:t>
            </w:r>
            <w:r w:rsidR="00E83069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 xml:space="preserve"> Dynamic School</w:t>
            </w:r>
            <w:r w:rsidR="00306CC4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 xml:space="preserve"> L</w:t>
            </w:r>
            <w:r w:rsidR="00564834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ibrarie</w:t>
            </w:r>
            <w:r w:rsidR="00122EDF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306CC4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/Learning Commons</w:t>
            </w:r>
            <w:r w:rsidR="005B2E73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 xml:space="preserve"> F</w:t>
            </w:r>
            <w:r w:rsidR="00BF7821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oster</w:t>
            </w:r>
            <w:r w:rsidR="00122EDF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5D661B6" w14:textId="0C1C90ED" w:rsidR="00D81633" w:rsidRPr="007A65B6" w:rsidRDefault="00D81633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7399D93" w14:textId="77777777" w:rsidR="00D81633" w:rsidRDefault="00D81633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70FA7" w14:textId="3D9138B7" w:rsidR="00DD168B" w:rsidRPr="007A65B6" w:rsidRDefault="00DD168B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  <w:r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Rigorous Literacy Teaching</w:t>
            </w:r>
          </w:p>
          <w:p w14:paraId="12505BFA" w14:textId="697B107E" w:rsidR="00DD168B" w:rsidRPr="007A65B6" w:rsidRDefault="00DD168B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  <w:r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Include</w:t>
            </w:r>
            <w:r w:rsidR="00CC15F4"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14:paraId="76624259" w14:textId="77777777" w:rsidR="00D81633" w:rsidRDefault="00D81633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99FD598" w14:textId="485EC2C1" w:rsidR="00DD168B" w:rsidRPr="007A65B6" w:rsidRDefault="00DD168B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</w:pPr>
            <w:r w:rsidRPr="007A65B6">
              <w:rPr>
                <w:rFonts w:ascii="Century Gothic" w:eastAsia="Yu Mincho" w:hAnsi="Century Gothic" w:cs="Times New Roman"/>
                <w:b/>
                <w:bCs/>
                <w:i/>
                <w:iCs/>
                <w:sz w:val="24"/>
                <w:szCs w:val="24"/>
              </w:rPr>
              <w:t>Professional and knowledgeable Literacy Educators:</w:t>
            </w:r>
          </w:p>
        </w:tc>
        <w:tc>
          <w:tcPr>
            <w:tcW w:w="3832" w:type="dxa"/>
          </w:tcPr>
          <w:p w14:paraId="1609241B" w14:textId="77777777" w:rsidR="00D81633" w:rsidRDefault="00D81633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i/>
                <w:iCs/>
                <w:sz w:val="24"/>
                <w:szCs w:val="24"/>
              </w:rPr>
            </w:pPr>
          </w:p>
          <w:p w14:paraId="33C0DA87" w14:textId="3298412D" w:rsidR="00DD168B" w:rsidRPr="007A65B6" w:rsidRDefault="00DD168B" w:rsidP="00F3798D">
            <w:pPr>
              <w:widowControl w:val="0"/>
              <w:suppressAutoHyphens/>
              <w:overflowPunct w:val="0"/>
              <w:autoSpaceDN w:val="0"/>
              <w:spacing w:before="17" w:line="384" w:lineRule="exact"/>
              <w:jc w:val="center"/>
              <w:textAlignment w:val="baseline"/>
              <w:rPr>
                <w:rFonts w:ascii="Century Gothic" w:eastAsia="Yu Mincho" w:hAnsi="Century Gothic" w:cs="Times New Roman"/>
                <w:b/>
                <w:i/>
                <w:iCs/>
                <w:sz w:val="24"/>
                <w:szCs w:val="24"/>
              </w:rPr>
            </w:pPr>
            <w:r w:rsidRPr="007A65B6">
              <w:rPr>
                <w:rFonts w:ascii="Century Gothic" w:eastAsia="Yu Mincho" w:hAnsi="Century Gothic" w:cs="Times New Roman"/>
                <w:b/>
                <w:i/>
                <w:iCs/>
                <w:sz w:val="24"/>
                <w:szCs w:val="24"/>
              </w:rPr>
              <w:t>Active Literacy Learners:</w:t>
            </w:r>
          </w:p>
        </w:tc>
      </w:tr>
      <w:tr w:rsidR="00C90DD3" w:rsidRPr="007A65B6" w14:paraId="67D00E01" w14:textId="77777777" w:rsidTr="00F3798D">
        <w:trPr>
          <w:trHeight w:val="10932"/>
        </w:trPr>
        <w:tc>
          <w:tcPr>
            <w:tcW w:w="4967" w:type="dxa"/>
          </w:tcPr>
          <w:p w14:paraId="1ACFE4DE" w14:textId="77777777" w:rsidR="00C74890" w:rsidRPr="00D81633" w:rsidRDefault="00C74890" w:rsidP="00F3798D">
            <w:pPr>
              <w:pStyle w:val="ListParagraph"/>
              <w:ind w:left="900"/>
              <w:rPr>
                <w:rFonts w:ascii="Century Gothic" w:eastAsia="Yu Mincho" w:hAnsi="Century Gothic" w:cs="Times New Roman"/>
                <w:sz w:val="20"/>
                <w:szCs w:val="20"/>
              </w:rPr>
            </w:pPr>
          </w:p>
          <w:p w14:paraId="0837A166" w14:textId="35A5202B" w:rsidR="00DD168B" w:rsidRPr="00D81633" w:rsidRDefault="00DD168B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A ‘literacy culture’ where </w:t>
            </w:r>
            <w:r w:rsidR="00C15129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language</w:t>
            </w:r>
            <w:r w:rsidR="00252DC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learning opportunities and</w:t>
            </w:r>
            <w:r w:rsidR="00D97068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</w:t>
            </w:r>
            <w:r w:rsidR="004149C8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reading and writing </w:t>
            </w:r>
            <w:r w:rsidR="004C278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experiences </w:t>
            </w:r>
            <w:r w:rsidR="00F65D7C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are continually</w:t>
            </w:r>
            <w:r w:rsidR="007819E8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and </w:t>
            </w:r>
            <w:r w:rsidR="005A22C7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intentionally</w:t>
            </w:r>
            <w:r w:rsidR="004C278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</w:t>
            </w:r>
            <w:r w:rsidR="00C15129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emphasized</w:t>
            </w:r>
            <w:r w:rsidR="004C278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</w:t>
            </w:r>
          </w:p>
          <w:p w14:paraId="59377961" w14:textId="567D3BB2" w:rsidR="00DD168B" w:rsidRPr="00D81633" w:rsidRDefault="005A22C7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ind w:left="896" w:right="576" w:hanging="357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A literacy rich atmosphere which </w:t>
            </w:r>
            <w:proofErr w:type="gramStart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includes:</w:t>
            </w:r>
            <w:proofErr w:type="gramEnd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showcasing student work, photos, labels, displays, announcements, performances, presentations, progress recognition, parent and community involvement</w:t>
            </w:r>
          </w:p>
          <w:p w14:paraId="4F078CE0" w14:textId="411867EE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ind w:left="896" w:right="576" w:hanging="357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Staff ‘literacy teams’ which collaborate and engage in professional learning</w:t>
            </w:r>
          </w:p>
          <w:p w14:paraId="70428FFD" w14:textId="70B8996E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ind w:left="896" w:right="576" w:hanging="357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Strong connection</w:t>
            </w:r>
            <w:r w:rsidR="00735112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s</w:t>
            </w: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to Indigenous ways of knowing and learning </w:t>
            </w:r>
          </w:p>
          <w:p w14:paraId="2E280D7B" w14:textId="663EE8EC" w:rsidR="00DD168B" w:rsidRPr="00D81633" w:rsidRDefault="0059160D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ind w:left="896" w:right="576" w:hanging="357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bCs/>
                <w:spacing w:val="-3"/>
                <w:sz w:val="20"/>
                <w:szCs w:val="20"/>
              </w:rPr>
              <w:t xml:space="preserve">Collections of </w:t>
            </w:r>
            <w:proofErr w:type="gramStart"/>
            <w:r w:rsidRPr="00D81633">
              <w:rPr>
                <w:rFonts w:ascii="Century Gothic" w:eastAsia="Yu Mincho" w:hAnsi="Century Gothic" w:cs="Times New Roman"/>
                <w:bCs/>
                <w:spacing w:val="-3"/>
                <w:sz w:val="20"/>
                <w:szCs w:val="20"/>
              </w:rPr>
              <w:t>h</w:t>
            </w:r>
            <w:r w:rsidR="00DD168B" w:rsidRPr="00D81633">
              <w:rPr>
                <w:rFonts w:ascii="Century Gothic" w:eastAsia="Yu Mincho" w:hAnsi="Century Gothic" w:cs="Times New Roman"/>
                <w:bCs/>
                <w:spacing w:val="-3"/>
                <w:sz w:val="20"/>
                <w:szCs w:val="20"/>
              </w:rPr>
              <w:t>igh quality</w:t>
            </w:r>
            <w:proofErr w:type="gramEnd"/>
            <w:r w:rsidR="00DD168B" w:rsidRPr="00D81633">
              <w:rPr>
                <w:rFonts w:ascii="Century Gothic" w:eastAsia="Yu Mincho" w:hAnsi="Century Gothic" w:cs="Times New Roman"/>
                <w:bCs/>
                <w:spacing w:val="-3"/>
                <w:sz w:val="20"/>
                <w:szCs w:val="20"/>
              </w:rPr>
              <w:t xml:space="preserve"> instructional texts</w:t>
            </w:r>
            <w:r w:rsidR="00AD1360" w:rsidRPr="00D81633">
              <w:rPr>
                <w:rFonts w:ascii="Century Gothic" w:eastAsia="Yu Mincho" w:hAnsi="Century Gothic" w:cs="Times New Roman"/>
                <w:bCs/>
                <w:spacing w:val="-3"/>
                <w:sz w:val="20"/>
                <w:szCs w:val="20"/>
              </w:rPr>
              <w:t xml:space="preserve"> which include</w:t>
            </w:r>
            <w:r w:rsidR="00DD168B" w:rsidRPr="00D81633">
              <w:rPr>
                <w:rFonts w:ascii="Century Gothic" w:eastAsia="Yu Mincho" w:hAnsi="Century Gothic" w:cs="Times New Roman"/>
                <w:bCs/>
                <w:spacing w:val="-3"/>
                <w:sz w:val="20"/>
                <w:szCs w:val="20"/>
              </w:rPr>
              <w:t xml:space="preserve"> decodable </w:t>
            </w:r>
            <w:r w:rsidR="00AD1360" w:rsidRPr="00D81633">
              <w:rPr>
                <w:rFonts w:ascii="Century Gothic" w:eastAsia="Yu Mincho" w:hAnsi="Century Gothic" w:cs="Times New Roman"/>
                <w:bCs/>
                <w:spacing w:val="-3"/>
                <w:sz w:val="20"/>
                <w:szCs w:val="20"/>
              </w:rPr>
              <w:t>books</w:t>
            </w:r>
            <w:r w:rsidR="00DD168B" w:rsidRPr="00D81633">
              <w:rPr>
                <w:rFonts w:ascii="Century Gothic" w:eastAsia="Yu Mincho" w:hAnsi="Century Gothic" w:cs="Times New Roman"/>
                <w:bCs/>
                <w:spacing w:val="-3"/>
                <w:sz w:val="20"/>
                <w:szCs w:val="20"/>
              </w:rPr>
              <w:t xml:space="preserve"> </w:t>
            </w:r>
          </w:p>
          <w:p w14:paraId="55D03024" w14:textId="26E32B6B" w:rsidR="00051363" w:rsidRPr="00D81633" w:rsidRDefault="00051363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ind w:left="896" w:right="576" w:hanging="357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Robust classroom book</w:t>
            </w:r>
            <w:r w:rsidR="00F534CF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</w:t>
            </w: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collections</w:t>
            </w:r>
          </w:p>
          <w:p w14:paraId="5199E174" w14:textId="767E21F8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ind w:left="896" w:right="576" w:hanging="357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A variety of physical areas</w:t>
            </w:r>
            <w:r w:rsidR="007837B4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and spaces throughout the school</w:t>
            </w: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to engage in whole group/small group/independent literacy learning</w:t>
            </w:r>
          </w:p>
          <w:p w14:paraId="185CC992" w14:textId="4A4D6852" w:rsidR="002321AF" w:rsidRPr="00D81633" w:rsidRDefault="00630783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ind w:left="896" w:right="576" w:hanging="357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Rich collection of teaching resources and mat</w:t>
            </w:r>
            <w:r w:rsidR="005839BF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erials</w:t>
            </w:r>
          </w:p>
          <w:p w14:paraId="6644258F" w14:textId="5B569117" w:rsidR="009A66CB" w:rsidRPr="00D81633" w:rsidRDefault="009A66CB" w:rsidP="00F3798D">
            <w:pPr>
              <w:pStyle w:val="ListParagraph"/>
              <w:numPr>
                <w:ilvl w:val="0"/>
                <w:numId w:val="1"/>
              </w:numPr>
              <w:ind w:left="896" w:hanging="357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Collaboration among educators; co-teaching, action research and inquiry</w:t>
            </w:r>
            <w:r w:rsidR="00B51F68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, classroom visits</w:t>
            </w:r>
            <w:r w:rsidR="00561D24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within the school and with other schools</w:t>
            </w:r>
          </w:p>
          <w:p w14:paraId="5CE8B3BC" w14:textId="46B89855" w:rsidR="009A66CB" w:rsidRPr="00D81633" w:rsidRDefault="009A66C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ind w:left="896" w:right="576" w:hanging="357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Community participation – visiting readers, story tellers, author</w:t>
            </w:r>
            <w:r w:rsidR="005839BF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s</w:t>
            </w: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,</w:t>
            </w:r>
            <w:r w:rsidR="00A467FD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theatrical performances,</w:t>
            </w: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films and</w:t>
            </w:r>
            <w:r w:rsidR="00A467FD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displays of</w:t>
            </w: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art gallery or historical items </w:t>
            </w:r>
          </w:p>
          <w:p w14:paraId="7DB926A5" w14:textId="77777777" w:rsidR="00DD168B" w:rsidRPr="00D81633" w:rsidRDefault="00374719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after="1"/>
              <w:ind w:left="896" w:hanging="357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Professional learning opportunities for all staff with a focus on literacy</w:t>
            </w:r>
          </w:p>
          <w:p w14:paraId="176B11B5" w14:textId="533D3279" w:rsidR="00592C4D" w:rsidRPr="00D81633" w:rsidRDefault="00592C4D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after="1"/>
              <w:ind w:left="896" w:hanging="357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Opportunities to </w:t>
            </w:r>
            <w:r w:rsidR="00B20D14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establish </w:t>
            </w:r>
            <w:r w:rsidR="00AE77B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school-wide literacy goals</w:t>
            </w:r>
            <w:r w:rsidR="00B20D14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, reflect on progress and </w:t>
            </w:r>
            <w:r w:rsidR="00636F61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re-visit objectives</w:t>
            </w:r>
            <w:r w:rsidR="00AE77B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0A4476EE" w14:textId="77777777" w:rsidR="00C74890" w:rsidRPr="00D81633" w:rsidRDefault="00C74890" w:rsidP="00F3798D">
            <w:pPr>
              <w:ind w:left="540"/>
              <w:contextualSpacing/>
              <w:rPr>
                <w:rFonts w:ascii="Century Gothic" w:eastAsia="Yu Mincho" w:hAnsi="Century Gothic" w:cs="Times New Roman"/>
                <w:sz w:val="20"/>
                <w:szCs w:val="20"/>
              </w:rPr>
            </w:pPr>
          </w:p>
          <w:p w14:paraId="4F88DC66" w14:textId="469CD92D" w:rsidR="00306CC4" w:rsidRPr="00D81633" w:rsidRDefault="00087640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Positive, </w:t>
            </w:r>
            <w:r w:rsidR="007028C6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purposeful </w:t>
            </w:r>
            <w:r w:rsidR="007E4DC4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atmosphere</w:t>
            </w:r>
            <w:r w:rsidR="00DA6BD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- a</w:t>
            </w:r>
            <w:r w:rsidR="00306CC4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n energetic</w:t>
            </w:r>
            <w:r w:rsidR="00DA6BD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hub that encourages students </w:t>
            </w:r>
            <w:r w:rsidR="006403F7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and educators </w:t>
            </w:r>
            <w:r w:rsidR="00DA6BD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to read, research, explore, connect,</w:t>
            </w:r>
            <w:r w:rsidR="00306CC4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collaborate</w:t>
            </w:r>
            <w:r w:rsidR="00DA6BD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and </w:t>
            </w:r>
            <w:proofErr w:type="gramStart"/>
            <w:r w:rsidR="00DA6BD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create</w:t>
            </w:r>
            <w:proofErr w:type="gramEnd"/>
          </w:p>
          <w:p w14:paraId="086F1C31" w14:textId="5B8E694C" w:rsidR="00DD168B" w:rsidRPr="00D81633" w:rsidRDefault="00306CC4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Teacher </w:t>
            </w:r>
            <w:r w:rsidR="000B73A3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Librarians who have a passion for books, technology, </w:t>
            </w:r>
            <w:r w:rsidR="00BC34EA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research </w:t>
            </w:r>
            <w:r w:rsidR="000B73A3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an</w:t>
            </w:r>
            <w:r w:rsidR="00C96293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d </w:t>
            </w:r>
            <w:r w:rsidR="000B73A3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ideas </w:t>
            </w:r>
            <w:r w:rsidR="00C96293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with </w:t>
            </w:r>
            <w:r w:rsidR="004B4F79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the desire to </w:t>
            </w:r>
            <w:r w:rsidR="00C36579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share </w:t>
            </w:r>
            <w:proofErr w:type="gramStart"/>
            <w:r w:rsidR="004B4F79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them</w:t>
            </w:r>
            <w:proofErr w:type="gramEnd"/>
          </w:p>
          <w:p w14:paraId="0065CD79" w14:textId="5C884152" w:rsidR="00C26057" w:rsidRDefault="004B4F79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Collections of rich literature which support literacy instruction across the curriculum</w:t>
            </w:r>
            <w:r w:rsidR="006403F7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 </w:t>
            </w:r>
          </w:p>
          <w:p w14:paraId="37C863E4" w14:textId="6A5EE7D2" w:rsidR="004B4F79" w:rsidRPr="00D81633" w:rsidRDefault="006403F7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mentor texts</w:t>
            </w:r>
            <w:r w:rsidR="00C26057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for writing</w:t>
            </w:r>
          </w:p>
          <w:p w14:paraId="21310505" w14:textId="3CA174F0" w:rsidR="004B4F79" w:rsidRPr="00D81633" w:rsidRDefault="006403F7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 wide variety of genre and interest</w:t>
            </w:r>
            <w:r w:rsidR="00C007C0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texts</w:t>
            </w: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(p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icture</w:t>
            </w:r>
            <w:r w:rsidR="00CD4347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books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, traditional literature, nursery rhymes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, 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fairy tales, fables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, 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folktales, informational text,</w:t>
            </w: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books about science and the natural world,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realistic literature, early reader books, wordless books, 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b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ig books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, b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iographies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, j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oke and riddle book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s, poetry collections, 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series 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books or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books by the same author/illustrator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, </w:t>
            </w:r>
            <w:r w:rsidR="00C007C0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art books, 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p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articipation books</w:t>
            </w:r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, </w:t>
            </w:r>
            <w:proofErr w:type="gramStart"/>
            <w:r w:rsidR="00254142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c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ookbook</w:t>
            </w: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s</w:t>
            </w:r>
            <w:proofErr w:type="gramEnd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and 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craft books</w:t>
            </w: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)</w:t>
            </w:r>
            <w:r w:rsidR="005579F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</w:t>
            </w:r>
          </w:p>
          <w:p w14:paraId="3BBEE77F" w14:textId="24F3F34B" w:rsidR="00C15DA5" w:rsidRPr="00D81633" w:rsidRDefault="006403F7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ind w:right="576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Diverse</w:t>
            </w:r>
            <w:r w:rsidR="00C15DA5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</w:t>
            </w:r>
            <w:r w:rsidR="00C007C0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collections</w:t>
            </w:r>
            <w:r w:rsidR="00C15DA5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where all students </w:t>
            </w:r>
            <w:r w:rsidR="00700710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can </w:t>
            </w:r>
            <w:r w:rsidR="00C15DA5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recognize themselves</w:t>
            </w: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and their families</w:t>
            </w:r>
          </w:p>
          <w:p w14:paraId="3C80747C" w14:textId="123D6B81" w:rsidR="00102060" w:rsidRPr="00D81633" w:rsidRDefault="00102060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ind w:right="576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Books and materials which highlight our local Indigenous cultures</w:t>
            </w:r>
            <w:r w:rsidR="006403F7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and stories</w:t>
            </w:r>
          </w:p>
          <w:p w14:paraId="5D9B0A1B" w14:textId="33C1B48D" w:rsidR="00C90DD3" w:rsidRPr="00D81633" w:rsidRDefault="00025AB6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ind w:right="576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E</w:t>
            </w:r>
            <w:r w:rsidR="005B28EE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vents </w:t>
            </w:r>
            <w:r w:rsidR="006B2849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such as </w:t>
            </w: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spelling bees, </w:t>
            </w:r>
            <w:r w:rsidR="0054278F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book fairs</w:t>
            </w:r>
            <w:r w:rsidR="008B576D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etc.</w:t>
            </w:r>
          </w:p>
          <w:p w14:paraId="2FE8D5CF" w14:textId="2E4CF6AF" w:rsidR="004F5EB4" w:rsidRPr="00D81633" w:rsidRDefault="00CD4347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ind w:right="576"/>
              <w:textAlignment w:val="baseline"/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O</w:t>
            </w:r>
            <w:r w:rsidR="00AA4A5A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rganized</w:t>
            </w:r>
            <w:r w:rsidR="00F63048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and</w:t>
            </w:r>
            <w:r w:rsidR="00AA4A5A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continually refreshed</w:t>
            </w:r>
            <w:r w:rsidR="00F63048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</w:t>
            </w:r>
            <w:r w:rsidR="009302B4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collections </w:t>
            </w:r>
            <w:r w:rsidR="00F63048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>with easy to access</w:t>
            </w:r>
            <w:r w:rsidR="004F5EB4" w:rsidRPr="00D81633">
              <w:rPr>
                <w:rFonts w:ascii="Century Gothic" w:eastAsia="Yu Mincho" w:hAnsi="Century Gothic" w:cs="Times New Roman"/>
                <w:spacing w:val="-3"/>
                <w:sz w:val="20"/>
                <w:szCs w:val="20"/>
              </w:rPr>
              <w:t xml:space="preserve"> index databases</w:t>
            </w:r>
          </w:p>
          <w:p w14:paraId="51D9DA78" w14:textId="12DA58A5" w:rsidR="00C007C0" w:rsidRPr="0012002B" w:rsidRDefault="0045289D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after="1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Access to technologies which support literacy learning and engagement </w:t>
            </w:r>
          </w:p>
        </w:tc>
        <w:tc>
          <w:tcPr>
            <w:tcW w:w="5670" w:type="dxa"/>
          </w:tcPr>
          <w:p w14:paraId="66AEFCE6" w14:textId="77777777" w:rsidR="005F7C3E" w:rsidRPr="00D81633" w:rsidRDefault="005F7C3E" w:rsidP="00F3798D">
            <w:pPr>
              <w:pStyle w:val="ListParagraph"/>
              <w:ind w:left="900"/>
              <w:rPr>
                <w:rFonts w:ascii="Century Gothic" w:eastAsia="Yu Mincho" w:hAnsi="Century Gothic" w:cs="Times New Roman"/>
                <w:sz w:val="20"/>
                <w:szCs w:val="20"/>
              </w:rPr>
            </w:pPr>
          </w:p>
          <w:p w14:paraId="01931C2F" w14:textId="7812074D" w:rsidR="00DD168B" w:rsidRPr="00D81633" w:rsidRDefault="00DD168B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Employing a gradual release of responsibility (support to independence – I do, we do, you do approach) </w:t>
            </w:r>
          </w:p>
          <w:p w14:paraId="03ACD8DF" w14:textId="2F04EACD" w:rsidR="00DD168B" w:rsidRPr="00D81633" w:rsidRDefault="00DD168B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Differentiation – content, process, product, learning environment</w:t>
            </w:r>
          </w:p>
          <w:p w14:paraId="1908936B" w14:textId="77777777" w:rsidR="00DD168B" w:rsidRPr="00D81633" w:rsidRDefault="00DD168B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Direct instruction in reading which includes:</w:t>
            </w:r>
          </w:p>
          <w:p w14:paraId="790C3BE1" w14:textId="77777777" w:rsidR="00DD168B" w:rsidRPr="00D81633" w:rsidRDefault="00DD168B" w:rsidP="00F3798D">
            <w:pPr>
              <w:pStyle w:val="ListParagraph"/>
              <w:numPr>
                <w:ilvl w:val="0"/>
                <w:numId w:val="3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explicit, </w:t>
            </w:r>
            <w:proofErr w:type="gramStart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systematic</w:t>
            </w:r>
            <w:proofErr w:type="gramEnd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and embedded phonological awareness/phonemic awareness and phonics instruction</w:t>
            </w:r>
          </w:p>
          <w:p w14:paraId="656216A9" w14:textId="77777777" w:rsidR="00DD168B" w:rsidRPr="00D81633" w:rsidRDefault="00DD168B" w:rsidP="00F3798D">
            <w:pPr>
              <w:pStyle w:val="ListParagraph"/>
              <w:numPr>
                <w:ilvl w:val="0"/>
                <w:numId w:val="3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reading instruction in small groups &amp; individual reading conferences</w:t>
            </w:r>
          </w:p>
          <w:p w14:paraId="7F0C4169" w14:textId="77777777" w:rsidR="00DD168B" w:rsidRPr="00D81633" w:rsidRDefault="00DD168B" w:rsidP="00F3798D">
            <w:pPr>
              <w:pStyle w:val="ListParagraph"/>
              <w:numPr>
                <w:ilvl w:val="0"/>
                <w:numId w:val="3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attention to fluency and comprehension strategies</w:t>
            </w:r>
          </w:p>
          <w:p w14:paraId="14364831" w14:textId="77777777" w:rsidR="00DD168B" w:rsidRPr="00D81633" w:rsidRDefault="00DD168B" w:rsidP="00F3798D">
            <w:pPr>
              <w:pStyle w:val="ListParagraph"/>
              <w:numPr>
                <w:ilvl w:val="0"/>
                <w:numId w:val="1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Direct instruction in writing which includes: </w:t>
            </w:r>
          </w:p>
          <w:p w14:paraId="017C3AC6" w14:textId="557AE945" w:rsidR="00DD168B" w:rsidRPr="00D81633" w:rsidRDefault="009A32A6" w:rsidP="00F3798D">
            <w:pPr>
              <w:pStyle w:val="ListParagraph"/>
              <w:numPr>
                <w:ilvl w:val="0"/>
                <w:numId w:val="3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d</w:t>
            </w:r>
            <w:r w:rsidR="00DD168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irect instruction in spelling – clear progression from invented spelling to conventional orthography</w:t>
            </w:r>
          </w:p>
          <w:p w14:paraId="383334F5" w14:textId="77777777" w:rsidR="00DD168B" w:rsidRPr="00D81633" w:rsidRDefault="00DD168B" w:rsidP="00F3798D">
            <w:pPr>
              <w:pStyle w:val="ListParagraph"/>
              <w:numPr>
                <w:ilvl w:val="0"/>
                <w:numId w:val="3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attention to different types of writing</w:t>
            </w:r>
          </w:p>
          <w:p w14:paraId="1D32E15C" w14:textId="77777777" w:rsidR="00391C84" w:rsidRPr="00D81633" w:rsidRDefault="00DD168B" w:rsidP="00F3798D">
            <w:pPr>
              <w:pStyle w:val="ListParagraph"/>
              <w:numPr>
                <w:ilvl w:val="0"/>
                <w:numId w:val="3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use of mentor texts and authorial </w:t>
            </w:r>
          </w:p>
          <w:p w14:paraId="2D495217" w14:textId="6A1405E4" w:rsidR="00DD168B" w:rsidRPr="00D81633" w:rsidRDefault="00DD168B" w:rsidP="00F3798D">
            <w:pPr>
              <w:pStyle w:val="ListParagraph"/>
              <w:ind w:left="1620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technique and style</w:t>
            </w:r>
          </w:p>
          <w:p w14:paraId="216F8901" w14:textId="13F18847" w:rsidR="009A32A6" w:rsidRPr="00D81633" w:rsidRDefault="009A32A6" w:rsidP="00F3798D">
            <w:pPr>
              <w:pStyle w:val="ListParagraph"/>
              <w:numPr>
                <w:ilvl w:val="0"/>
                <w:numId w:val="3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writing fluency</w:t>
            </w:r>
          </w:p>
          <w:p w14:paraId="15E76F89" w14:textId="088FBCDB" w:rsidR="00DD168B" w:rsidRPr="00D81633" w:rsidRDefault="009A32A6" w:rsidP="00F3798D">
            <w:pPr>
              <w:pStyle w:val="ListParagraph"/>
              <w:numPr>
                <w:ilvl w:val="0"/>
                <w:numId w:val="3"/>
              </w:numPr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w</w:t>
            </w:r>
            <w:r w:rsidR="00DD168B"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riting instruction in small group &amp; individual writing conference</w:t>
            </w:r>
          </w:p>
          <w:p w14:paraId="6AAE97AF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Reading and writing to, with and for students</w:t>
            </w:r>
          </w:p>
          <w:p w14:paraId="46FE13C4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Opportunities for student choice </w:t>
            </w:r>
          </w:p>
          <w:p w14:paraId="1C4919AD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Integrated cross curricular approach – literacy instruction in Science, Social Studies, Art etc.</w:t>
            </w:r>
          </w:p>
          <w:p w14:paraId="3B6AC2A9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textAlignment w:val="baseline"/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Providing easy access to learning supports such as graphic organizers, interactive word walls/word folders, anchor charts and technology etc. </w:t>
            </w:r>
          </w:p>
          <w:p w14:paraId="09BAABCF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textAlignment w:val="baseline"/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Access to effective, early intervention and ongoing support</w:t>
            </w:r>
          </w:p>
          <w:p w14:paraId="5B9A904A" w14:textId="7F55205C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textAlignment w:val="baseline"/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21</w:t>
            </w: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  <w:vertAlign w:val="superscript"/>
              </w:rPr>
              <w:t>st</w:t>
            </w: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 Century literacies/technology</w:t>
            </w:r>
            <w:r w:rsidR="00DB34CC"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 </w:t>
            </w:r>
            <w:r w:rsidR="007404EF"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- core competencies such as collaboration, digital literacy, critical thinking, and problem-solving  </w:t>
            </w:r>
          </w:p>
          <w:p w14:paraId="53D41521" w14:textId="08957F4C" w:rsidR="00A74425" w:rsidRPr="00D81633" w:rsidRDefault="00A74425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textAlignment w:val="baseline"/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“Theory of mind” </w:t>
            </w:r>
            <w:r w:rsidR="00063EE6"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–</w:t>
            </w: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 </w:t>
            </w:r>
            <w:r w:rsidR="00063EE6"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ability to</w:t>
            </w: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 “tune-in” to other peoples' perspectives</w:t>
            </w:r>
          </w:p>
          <w:p w14:paraId="0A3B72AD" w14:textId="10C26ED2" w:rsidR="00A74425" w:rsidRPr="00D81633" w:rsidRDefault="00A74425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textAlignment w:val="baseline"/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Cognitive flexibility</w:t>
            </w:r>
            <w:r w:rsidR="007404EF"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 </w:t>
            </w:r>
            <w:r w:rsidR="00873E4C"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–</w:t>
            </w: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 </w:t>
            </w:r>
            <w:r w:rsidR="00873E4C"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in reading it is </w:t>
            </w:r>
            <w:r w:rsidR="00604824"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referred</w:t>
            </w: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 xml:space="preserve"> to as </w:t>
            </w:r>
            <w:proofErr w:type="spellStart"/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graphophonological</w:t>
            </w:r>
            <w:proofErr w:type="spellEnd"/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-semantic flexibility</w:t>
            </w:r>
          </w:p>
          <w:p w14:paraId="595DD294" w14:textId="104104B0" w:rsidR="0012002B" w:rsidRPr="0012002B" w:rsidRDefault="00A74425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textAlignment w:val="baseline"/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pacing w:val="-4"/>
                <w:sz w:val="20"/>
                <w:szCs w:val="20"/>
              </w:rPr>
              <w:t>Access to effective, early intervention and ongoing support</w:t>
            </w:r>
          </w:p>
        </w:tc>
        <w:tc>
          <w:tcPr>
            <w:tcW w:w="4673" w:type="dxa"/>
          </w:tcPr>
          <w:p w14:paraId="1E15D5BC" w14:textId="77777777" w:rsidR="007B2DDD" w:rsidRDefault="007B2DDD" w:rsidP="00F3798D">
            <w:pPr>
              <w:pStyle w:val="ListParagraph"/>
              <w:widowControl w:val="0"/>
              <w:suppressAutoHyphens/>
              <w:overflowPunct w:val="0"/>
              <w:autoSpaceDN w:val="0"/>
              <w:spacing w:before="17"/>
              <w:ind w:left="90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</w:p>
          <w:p w14:paraId="7F64624F" w14:textId="455D0F04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17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Create safe, caring learning environments which build strong relationships amongst students and with themselves</w:t>
            </w:r>
          </w:p>
          <w:p w14:paraId="491C7C24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17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Celebrate diversity of culture, </w:t>
            </w:r>
            <w:proofErr w:type="gramStart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ability</w:t>
            </w:r>
            <w:proofErr w:type="gramEnd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and individuality</w:t>
            </w:r>
          </w:p>
          <w:p w14:paraId="64D34C44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17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Weave Indigenous ways of knowing and learning throughout literacy instruction</w:t>
            </w:r>
          </w:p>
          <w:p w14:paraId="1921A8B8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17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Provide strong classroom organization, routine and culture of literacy </w:t>
            </w:r>
            <w:proofErr w:type="gramStart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learning</w:t>
            </w:r>
            <w:proofErr w:type="gramEnd"/>
          </w:p>
          <w:p w14:paraId="3B52506B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Possess knowledge and theoretical understanding of how children learn to read and write </w:t>
            </w:r>
          </w:p>
          <w:p w14:paraId="5FE3EDD7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Understand the bredth and depth of the British Columbia Education Language Arts Curriculum</w:t>
            </w:r>
          </w:p>
          <w:p w14:paraId="46282A32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Are motivators who convey enthusiasm for words, sounds, language, books and </w:t>
            </w:r>
            <w:proofErr w:type="gramStart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stories</w:t>
            </w:r>
            <w:proofErr w:type="gramEnd"/>
          </w:p>
          <w:p w14:paraId="0DE798E2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Engage in reflective and responsive instruction</w:t>
            </w:r>
          </w:p>
          <w:p w14:paraId="08E0CBFB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Hold high expectations for every student</w:t>
            </w:r>
          </w:p>
          <w:p w14:paraId="555E5294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before="5"/>
              <w:jc w:val="both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Effectively use both formative and summative assessment tools</w:t>
            </w:r>
          </w:p>
          <w:p w14:paraId="018E5857" w14:textId="176E4E6F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Provide intentional time for student discussion/intentional talk</w:t>
            </w:r>
          </w:p>
          <w:p w14:paraId="4CDFA007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Collaborate with colleagues </w:t>
            </w:r>
          </w:p>
          <w:p w14:paraId="3A0AFCA5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Participate in Professional Learning</w:t>
            </w:r>
          </w:p>
          <w:p w14:paraId="0732BCB4" w14:textId="77777777" w:rsidR="00DD168B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jc w:val="both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Advocate for students’ literacy needs at School Based Team meetings</w:t>
            </w:r>
          </w:p>
          <w:p w14:paraId="67B2980C" w14:textId="68E3983A" w:rsidR="00550A40" w:rsidRPr="00550A40" w:rsidRDefault="00550A40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spacing w:after="1"/>
              <w:jc w:val="both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Provi</w:t>
            </w:r>
            <w:r>
              <w:rPr>
                <w:rFonts w:ascii="Century Gothic" w:eastAsia="Yu Mincho" w:hAnsi="Century Gothic" w:cs="Times New Roman"/>
                <w:sz w:val="20"/>
                <w:szCs w:val="20"/>
              </w:rPr>
              <w:t>de</w:t>
            </w:r>
            <w:r w:rsidR="00982C6E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specific and </w:t>
            </w:r>
            <w:proofErr w:type="gramStart"/>
            <w:r w:rsidRPr="00550A40">
              <w:rPr>
                <w:rFonts w:ascii="Century Gothic" w:eastAsia="Yu Mincho" w:hAnsi="Century Gothic" w:cs="Times New Roman"/>
                <w:sz w:val="20"/>
                <w:szCs w:val="20"/>
              </w:rPr>
              <w:t>ongoing  feedback</w:t>
            </w:r>
            <w:proofErr w:type="gramEnd"/>
            <w:r w:rsidR="000D55DC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</w:t>
            </w:r>
            <w:r w:rsidRPr="00550A40">
              <w:rPr>
                <w:rFonts w:ascii="Century Gothic" w:eastAsia="Yu Mincho" w:hAnsi="Century Gothic" w:cs="Times New Roman"/>
                <w:sz w:val="20"/>
                <w:szCs w:val="20"/>
              </w:rPr>
              <w:t>for ind</w:t>
            </w:r>
            <w:r w:rsidR="000D55DC">
              <w:rPr>
                <w:rFonts w:ascii="Century Gothic" w:eastAsia="Yu Mincho" w:hAnsi="Century Gothic" w:cs="Times New Roman"/>
                <w:sz w:val="20"/>
                <w:szCs w:val="20"/>
              </w:rPr>
              <w:t>ividual</w:t>
            </w:r>
            <w:r w:rsidRPr="00550A40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growth</w:t>
            </w:r>
          </w:p>
          <w:p w14:paraId="528B0B8D" w14:textId="70B5BD79" w:rsidR="0012002B" w:rsidRPr="0012002B" w:rsidRDefault="0012002B" w:rsidP="00F3798D"/>
        </w:tc>
        <w:tc>
          <w:tcPr>
            <w:tcW w:w="3832" w:type="dxa"/>
          </w:tcPr>
          <w:p w14:paraId="363752ED" w14:textId="77777777" w:rsidR="007B2DDD" w:rsidRDefault="007B2DDD" w:rsidP="00F3798D">
            <w:pPr>
              <w:pStyle w:val="ListParagraph"/>
              <w:widowControl w:val="0"/>
              <w:suppressAutoHyphens/>
              <w:overflowPunct w:val="0"/>
              <w:autoSpaceDN w:val="0"/>
              <w:ind w:left="90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</w:p>
          <w:p w14:paraId="3B46F03F" w14:textId="46B55980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Have the basic human right to learn how to read and write</w:t>
            </w:r>
          </w:p>
          <w:p w14:paraId="2B7B7A6D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Have the right to read and write texts that mirror their experiences and languages, provide windows into the lives of others, and open doors into our diverse world</w:t>
            </w:r>
          </w:p>
          <w:p w14:paraId="3B1483C3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Have the right to supportive reading and writing environments with knowledgeable literacy teachers and high quality </w:t>
            </w:r>
            <w:proofErr w:type="gramStart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resources</w:t>
            </w:r>
            <w:proofErr w:type="gramEnd"/>
          </w:p>
          <w:p w14:paraId="1D0F935A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Have the right to integrated support systems and policies that ensure equitable literacy instruction</w:t>
            </w:r>
          </w:p>
          <w:p w14:paraId="7994B06B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Have the right to access texts in print and digital formats</w:t>
            </w:r>
          </w:p>
          <w:p w14:paraId="5840F912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Have the right to share what they learn through reading by collaborating with others locally and globally </w:t>
            </w:r>
          </w:p>
          <w:p w14:paraId="4FA01FA6" w14:textId="77777777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Have the right for opportunities to choose what they want to read and write </w:t>
            </w:r>
          </w:p>
          <w:p w14:paraId="4CEB03A9" w14:textId="77777777" w:rsidR="00DD168B" w:rsidRPr="00D81633" w:rsidRDefault="00DD168B" w:rsidP="00F3798D">
            <w:pPr>
              <w:pStyle w:val="ListParagraph"/>
              <w:widowControl w:val="0"/>
              <w:suppressAutoHyphens/>
              <w:overflowPunct w:val="0"/>
              <w:autoSpaceDN w:val="0"/>
              <w:ind w:left="90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(Adapted from the International Literacy Association’s </w:t>
            </w:r>
            <w:r w:rsidRPr="00D81633">
              <w:rPr>
                <w:rFonts w:ascii="Century Gothic" w:eastAsia="Yu Mincho" w:hAnsi="Century Gothic" w:cs="Times New Roman"/>
                <w:i/>
                <w:iCs/>
                <w:sz w:val="20"/>
                <w:szCs w:val="20"/>
              </w:rPr>
              <w:t>Children’s Right to Read</w:t>
            </w: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document)</w:t>
            </w:r>
          </w:p>
          <w:p w14:paraId="6EF85ADC" w14:textId="77777777" w:rsidR="00DD168B" w:rsidRPr="00D81633" w:rsidRDefault="00DD168B" w:rsidP="00F3798D">
            <w:pPr>
              <w:pStyle w:val="ListParagraph"/>
              <w:widowControl w:val="0"/>
              <w:suppressAutoHyphens/>
              <w:overflowPunct w:val="0"/>
              <w:autoSpaceDN w:val="0"/>
              <w:ind w:left="90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</w:p>
          <w:p w14:paraId="48C29C69" w14:textId="3CEE0C3B" w:rsidR="00DD168B" w:rsidRPr="00D81633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Come as they are – with a range</w:t>
            </w:r>
            <w:r w:rsidR="005249E1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of</w:t>
            </w: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literate experiences and </w:t>
            </w:r>
            <w:proofErr w:type="gramStart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understandings</w:t>
            </w:r>
            <w:proofErr w:type="gramEnd"/>
          </w:p>
          <w:p w14:paraId="6CF756F6" w14:textId="249A53C4" w:rsidR="0012002B" w:rsidRPr="00F3798D" w:rsidRDefault="00DD168B" w:rsidP="00F3798D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overflowPunct w:val="0"/>
              <w:autoSpaceDN w:val="0"/>
              <w:textAlignment w:val="baseline"/>
              <w:rPr>
                <w:rFonts w:ascii="Century Gothic" w:eastAsia="Yu Mincho" w:hAnsi="Century Gothic" w:cs="Times New Roman"/>
                <w:sz w:val="20"/>
                <w:szCs w:val="20"/>
              </w:rPr>
            </w:pPr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Deserve instruction which </w:t>
            </w:r>
            <w:proofErr w:type="spellStart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>honours</w:t>
            </w:r>
            <w:proofErr w:type="spellEnd"/>
            <w:r w:rsidRPr="00D81633">
              <w:rPr>
                <w:rFonts w:ascii="Century Gothic" w:eastAsia="Yu Mincho" w:hAnsi="Century Gothic" w:cs="Times New Roman"/>
                <w:sz w:val="20"/>
                <w:szCs w:val="20"/>
              </w:rPr>
              <w:t xml:space="preserve"> and respects each learner as an individual</w:t>
            </w:r>
          </w:p>
        </w:tc>
      </w:tr>
    </w:tbl>
    <w:p w14:paraId="67915AAF" w14:textId="77777777" w:rsidR="00577647" w:rsidRPr="00577647" w:rsidRDefault="00577647" w:rsidP="00982C6E">
      <w:pPr>
        <w:rPr>
          <w:sz w:val="18"/>
          <w:szCs w:val="18"/>
        </w:rPr>
      </w:pPr>
    </w:p>
    <w:sectPr w:rsidR="00577647" w:rsidRPr="00577647" w:rsidSect="003656E5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9BF9" w14:textId="77777777" w:rsidR="00272350" w:rsidRDefault="00272350" w:rsidP="00C02F81">
      <w:pPr>
        <w:spacing w:after="0" w:line="240" w:lineRule="auto"/>
      </w:pPr>
      <w:r>
        <w:separator/>
      </w:r>
    </w:p>
  </w:endnote>
  <w:endnote w:type="continuationSeparator" w:id="0">
    <w:p w14:paraId="0A0F452F" w14:textId="77777777" w:rsidR="00272350" w:rsidRDefault="00272350" w:rsidP="00C02F81">
      <w:pPr>
        <w:spacing w:after="0" w:line="240" w:lineRule="auto"/>
      </w:pPr>
      <w:r>
        <w:continuationSeparator/>
      </w:r>
    </w:p>
  </w:endnote>
  <w:endnote w:type="continuationNotice" w:id="1">
    <w:p w14:paraId="0858CFEA" w14:textId="77777777" w:rsidR="00272350" w:rsidRDefault="00272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DE5C" w14:textId="77777777" w:rsidR="00272350" w:rsidRDefault="00272350" w:rsidP="00C02F81">
      <w:pPr>
        <w:spacing w:after="0" w:line="240" w:lineRule="auto"/>
      </w:pPr>
      <w:r>
        <w:separator/>
      </w:r>
    </w:p>
  </w:footnote>
  <w:footnote w:type="continuationSeparator" w:id="0">
    <w:p w14:paraId="69FB4A40" w14:textId="77777777" w:rsidR="00272350" w:rsidRDefault="00272350" w:rsidP="00C02F81">
      <w:pPr>
        <w:spacing w:after="0" w:line="240" w:lineRule="auto"/>
      </w:pPr>
      <w:r>
        <w:continuationSeparator/>
      </w:r>
    </w:p>
  </w:footnote>
  <w:footnote w:type="continuationNotice" w:id="1">
    <w:p w14:paraId="396AE556" w14:textId="77777777" w:rsidR="00272350" w:rsidRDefault="002723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218D"/>
    <w:multiLevelType w:val="hybridMultilevel"/>
    <w:tmpl w:val="158E31D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D58109D"/>
    <w:multiLevelType w:val="hybridMultilevel"/>
    <w:tmpl w:val="39802D5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327D"/>
    <w:multiLevelType w:val="hybridMultilevel"/>
    <w:tmpl w:val="269A4A1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4FCF"/>
    <w:multiLevelType w:val="hybridMultilevel"/>
    <w:tmpl w:val="1B1440EE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BFC1FDE"/>
    <w:multiLevelType w:val="hybridMultilevel"/>
    <w:tmpl w:val="8F621B0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611933586">
    <w:abstractNumId w:val="1"/>
  </w:num>
  <w:num w:numId="2" w16cid:durableId="270279733">
    <w:abstractNumId w:val="2"/>
  </w:num>
  <w:num w:numId="3" w16cid:durableId="1455365387">
    <w:abstractNumId w:val="3"/>
  </w:num>
  <w:num w:numId="4" w16cid:durableId="1327589560">
    <w:abstractNumId w:val="0"/>
  </w:num>
  <w:num w:numId="5" w16cid:durableId="42908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7E"/>
    <w:rsid w:val="000013F8"/>
    <w:rsid w:val="000156D0"/>
    <w:rsid w:val="00025AB6"/>
    <w:rsid w:val="00027592"/>
    <w:rsid w:val="000333D4"/>
    <w:rsid w:val="00041E79"/>
    <w:rsid w:val="00051363"/>
    <w:rsid w:val="000529A2"/>
    <w:rsid w:val="00053825"/>
    <w:rsid w:val="000556D2"/>
    <w:rsid w:val="000572E0"/>
    <w:rsid w:val="000575C7"/>
    <w:rsid w:val="000618B9"/>
    <w:rsid w:val="000620F1"/>
    <w:rsid w:val="0006331E"/>
    <w:rsid w:val="00063EE6"/>
    <w:rsid w:val="000650F1"/>
    <w:rsid w:val="000714FE"/>
    <w:rsid w:val="00074E15"/>
    <w:rsid w:val="00075280"/>
    <w:rsid w:val="00087640"/>
    <w:rsid w:val="000937D9"/>
    <w:rsid w:val="000960F4"/>
    <w:rsid w:val="000A5F17"/>
    <w:rsid w:val="000A7B7D"/>
    <w:rsid w:val="000B1825"/>
    <w:rsid w:val="000B2F84"/>
    <w:rsid w:val="000B56A0"/>
    <w:rsid w:val="000B73A3"/>
    <w:rsid w:val="000C269E"/>
    <w:rsid w:val="000C7FA2"/>
    <w:rsid w:val="000D326C"/>
    <w:rsid w:val="000D3EC6"/>
    <w:rsid w:val="000D55DC"/>
    <w:rsid w:val="000E0C6F"/>
    <w:rsid w:val="000E2E89"/>
    <w:rsid w:val="000E5D44"/>
    <w:rsid w:val="000F0C63"/>
    <w:rsid w:val="000F1C3C"/>
    <w:rsid w:val="00102060"/>
    <w:rsid w:val="00104167"/>
    <w:rsid w:val="00104B00"/>
    <w:rsid w:val="00105C1D"/>
    <w:rsid w:val="00113FEE"/>
    <w:rsid w:val="00115BF4"/>
    <w:rsid w:val="00115C8C"/>
    <w:rsid w:val="0012002B"/>
    <w:rsid w:val="00120E24"/>
    <w:rsid w:val="00122EDF"/>
    <w:rsid w:val="00126306"/>
    <w:rsid w:val="00127872"/>
    <w:rsid w:val="001317E6"/>
    <w:rsid w:val="00131B9B"/>
    <w:rsid w:val="001360E0"/>
    <w:rsid w:val="00136BC5"/>
    <w:rsid w:val="00136E3A"/>
    <w:rsid w:val="00141A67"/>
    <w:rsid w:val="00146855"/>
    <w:rsid w:val="0015318B"/>
    <w:rsid w:val="0015344B"/>
    <w:rsid w:val="00157464"/>
    <w:rsid w:val="00157CA4"/>
    <w:rsid w:val="001604F7"/>
    <w:rsid w:val="00182FE8"/>
    <w:rsid w:val="001941B8"/>
    <w:rsid w:val="00194C32"/>
    <w:rsid w:val="00197BA3"/>
    <w:rsid w:val="001A0AC1"/>
    <w:rsid w:val="001A2773"/>
    <w:rsid w:val="001A51E7"/>
    <w:rsid w:val="001A6060"/>
    <w:rsid w:val="001B1A2E"/>
    <w:rsid w:val="001B20FE"/>
    <w:rsid w:val="001B3767"/>
    <w:rsid w:val="001B5144"/>
    <w:rsid w:val="001B5673"/>
    <w:rsid w:val="001B6DF5"/>
    <w:rsid w:val="001C0398"/>
    <w:rsid w:val="001C047F"/>
    <w:rsid w:val="001C2D44"/>
    <w:rsid w:val="001C3319"/>
    <w:rsid w:val="001C6BE8"/>
    <w:rsid w:val="001C7B9F"/>
    <w:rsid w:val="001D5B85"/>
    <w:rsid w:val="001D5C29"/>
    <w:rsid w:val="001D6DB6"/>
    <w:rsid w:val="001D7646"/>
    <w:rsid w:val="001E36F0"/>
    <w:rsid w:val="001F4DA1"/>
    <w:rsid w:val="002015E6"/>
    <w:rsid w:val="00204BA4"/>
    <w:rsid w:val="00206F28"/>
    <w:rsid w:val="00210217"/>
    <w:rsid w:val="00216DB5"/>
    <w:rsid w:val="00230945"/>
    <w:rsid w:val="002321AF"/>
    <w:rsid w:val="0023232A"/>
    <w:rsid w:val="00236D9A"/>
    <w:rsid w:val="002415E5"/>
    <w:rsid w:val="00241A47"/>
    <w:rsid w:val="00242F29"/>
    <w:rsid w:val="002457E0"/>
    <w:rsid w:val="00252DC2"/>
    <w:rsid w:val="00254142"/>
    <w:rsid w:val="00266E00"/>
    <w:rsid w:val="00272350"/>
    <w:rsid w:val="00275A0C"/>
    <w:rsid w:val="00290C52"/>
    <w:rsid w:val="002935A9"/>
    <w:rsid w:val="002939F2"/>
    <w:rsid w:val="00295F00"/>
    <w:rsid w:val="00296F48"/>
    <w:rsid w:val="002A63EF"/>
    <w:rsid w:val="002B4B3B"/>
    <w:rsid w:val="002D0996"/>
    <w:rsid w:val="002D0ED3"/>
    <w:rsid w:val="002D2412"/>
    <w:rsid w:val="002D254E"/>
    <w:rsid w:val="002D2787"/>
    <w:rsid w:val="002E11B9"/>
    <w:rsid w:val="002E329A"/>
    <w:rsid w:val="002E68CF"/>
    <w:rsid w:val="002E7947"/>
    <w:rsid w:val="002F31AF"/>
    <w:rsid w:val="002F5B9F"/>
    <w:rsid w:val="003019AF"/>
    <w:rsid w:val="00306CC4"/>
    <w:rsid w:val="00312402"/>
    <w:rsid w:val="00312621"/>
    <w:rsid w:val="00315642"/>
    <w:rsid w:val="003158D2"/>
    <w:rsid w:val="003161C5"/>
    <w:rsid w:val="003169FA"/>
    <w:rsid w:val="0031784E"/>
    <w:rsid w:val="003201A6"/>
    <w:rsid w:val="00323A5F"/>
    <w:rsid w:val="00337708"/>
    <w:rsid w:val="00343873"/>
    <w:rsid w:val="00350845"/>
    <w:rsid w:val="00361840"/>
    <w:rsid w:val="00364CD3"/>
    <w:rsid w:val="003656E5"/>
    <w:rsid w:val="00365DC5"/>
    <w:rsid w:val="00370B49"/>
    <w:rsid w:val="00374719"/>
    <w:rsid w:val="00380C86"/>
    <w:rsid w:val="00380DD5"/>
    <w:rsid w:val="003818D8"/>
    <w:rsid w:val="003828D1"/>
    <w:rsid w:val="003834CA"/>
    <w:rsid w:val="003844DA"/>
    <w:rsid w:val="00391C84"/>
    <w:rsid w:val="00396ED9"/>
    <w:rsid w:val="003A04A5"/>
    <w:rsid w:val="003A19EE"/>
    <w:rsid w:val="003A5A7C"/>
    <w:rsid w:val="003A7D97"/>
    <w:rsid w:val="003B15BE"/>
    <w:rsid w:val="003C5E92"/>
    <w:rsid w:val="003C7447"/>
    <w:rsid w:val="003C7657"/>
    <w:rsid w:val="003D1A33"/>
    <w:rsid w:val="003D1A62"/>
    <w:rsid w:val="003D4DB8"/>
    <w:rsid w:val="003D6E4B"/>
    <w:rsid w:val="003E1FC8"/>
    <w:rsid w:val="003E2194"/>
    <w:rsid w:val="003E376A"/>
    <w:rsid w:val="003F0E8D"/>
    <w:rsid w:val="003F4E2F"/>
    <w:rsid w:val="003F572C"/>
    <w:rsid w:val="00401D3C"/>
    <w:rsid w:val="004149C8"/>
    <w:rsid w:val="004153BF"/>
    <w:rsid w:val="00415C86"/>
    <w:rsid w:val="00417329"/>
    <w:rsid w:val="00424299"/>
    <w:rsid w:val="00426AB8"/>
    <w:rsid w:val="00426D61"/>
    <w:rsid w:val="00431D35"/>
    <w:rsid w:val="00433F11"/>
    <w:rsid w:val="00442EC2"/>
    <w:rsid w:val="00451292"/>
    <w:rsid w:val="004527D7"/>
    <w:rsid w:val="0045289D"/>
    <w:rsid w:val="00453C68"/>
    <w:rsid w:val="00457CEC"/>
    <w:rsid w:val="0046472D"/>
    <w:rsid w:val="00465A66"/>
    <w:rsid w:val="00467DA7"/>
    <w:rsid w:val="00476626"/>
    <w:rsid w:val="00476F96"/>
    <w:rsid w:val="00482B73"/>
    <w:rsid w:val="004832CF"/>
    <w:rsid w:val="00484BAF"/>
    <w:rsid w:val="00491F56"/>
    <w:rsid w:val="0049465B"/>
    <w:rsid w:val="0049564F"/>
    <w:rsid w:val="004A093A"/>
    <w:rsid w:val="004A1DA7"/>
    <w:rsid w:val="004A4F7A"/>
    <w:rsid w:val="004B070F"/>
    <w:rsid w:val="004B4DC2"/>
    <w:rsid w:val="004B4F79"/>
    <w:rsid w:val="004C1508"/>
    <w:rsid w:val="004C278B"/>
    <w:rsid w:val="004D0276"/>
    <w:rsid w:val="004D588C"/>
    <w:rsid w:val="004E078B"/>
    <w:rsid w:val="004E0999"/>
    <w:rsid w:val="004E0B55"/>
    <w:rsid w:val="004E4D66"/>
    <w:rsid w:val="004F2441"/>
    <w:rsid w:val="004F45D7"/>
    <w:rsid w:val="004F5EB4"/>
    <w:rsid w:val="0050426A"/>
    <w:rsid w:val="00506F30"/>
    <w:rsid w:val="00507210"/>
    <w:rsid w:val="00507270"/>
    <w:rsid w:val="00515775"/>
    <w:rsid w:val="00517455"/>
    <w:rsid w:val="00520DDD"/>
    <w:rsid w:val="005249E1"/>
    <w:rsid w:val="00526DC9"/>
    <w:rsid w:val="0052784E"/>
    <w:rsid w:val="005301AD"/>
    <w:rsid w:val="00533B02"/>
    <w:rsid w:val="00536935"/>
    <w:rsid w:val="0054278F"/>
    <w:rsid w:val="00544047"/>
    <w:rsid w:val="00546592"/>
    <w:rsid w:val="00547A45"/>
    <w:rsid w:val="0055091A"/>
    <w:rsid w:val="00550A40"/>
    <w:rsid w:val="00551559"/>
    <w:rsid w:val="00554B65"/>
    <w:rsid w:val="0055535D"/>
    <w:rsid w:val="005574DE"/>
    <w:rsid w:val="005579FB"/>
    <w:rsid w:val="00561D24"/>
    <w:rsid w:val="005636AE"/>
    <w:rsid w:val="00563A2D"/>
    <w:rsid w:val="0056453D"/>
    <w:rsid w:val="00564834"/>
    <w:rsid w:val="0056763B"/>
    <w:rsid w:val="00572E2D"/>
    <w:rsid w:val="00573CDB"/>
    <w:rsid w:val="00574173"/>
    <w:rsid w:val="0057452A"/>
    <w:rsid w:val="00575629"/>
    <w:rsid w:val="0057641B"/>
    <w:rsid w:val="005770B6"/>
    <w:rsid w:val="00577647"/>
    <w:rsid w:val="0058016F"/>
    <w:rsid w:val="005839BF"/>
    <w:rsid w:val="005852D5"/>
    <w:rsid w:val="00590EBD"/>
    <w:rsid w:val="0059160D"/>
    <w:rsid w:val="00591FC7"/>
    <w:rsid w:val="00592C4D"/>
    <w:rsid w:val="005A0CD2"/>
    <w:rsid w:val="005A22C7"/>
    <w:rsid w:val="005A32D2"/>
    <w:rsid w:val="005A3D9C"/>
    <w:rsid w:val="005A4240"/>
    <w:rsid w:val="005A60F6"/>
    <w:rsid w:val="005B28EE"/>
    <w:rsid w:val="005B2E73"/>
    <w:rsid w:val="005C0B79"/>
    <w:rsid w:val="005C2BD0"/>
    <w:rsid w:val="005C2EEA"/>
    <w:rsid w:val="005C4A62"/>
    <w:rsid w:val="005C5341"/>
    <w:rsid w:val="005C6730"/>
    <w:rsid w:val="005D2BE0"/>
    <w:rsid w:val="005D5155"/>
    <w:rsid w:val="005E2CDF"/>
    <w:rsid w:val="005E2CEF"/>
    <w:rsid w:val="005E2D65"/>
    <w:rsid w:val="005E4784"/>
    <w:rsid w:val="005E5237"/>
    <w:rsid w:val="005E554C"/>
    <w:rsid w:val="005E579A"/>
    <w:rsid w:val="005E7A36"/>
    <w:rsid w:val="005F04C4"/>
    <w:rsid w:val="005F3DC4"/>
    <w:rsid w:val="005F4B1C"/>
    <w:rsid w:val="005F7C3E"/>
    <w:rsid w:val="00604068"/>
    <w:rsid w:val="00604824"/>
    <w:rsid w:val="0061340C"/>
    <w:rsid w:val="00621BAE"/>
    <w:rsid w:val="00622417"/>
    <w:rsid w:val="00627DEC"/>
    <w:rsid w:val="006300E6"/>
    <w:rsid w:val="00630783"/>
    <w:rsid w:val="00636F61"/>
    <w:rsid w:val="006403F7"/>
    <w:rsid w:val="00640DEB"/>
    <w:rsid w:val="00642988"/>
    <w:rsid w:val="00643D40"/>
    <w:rsid w:val="00643D91"/>
    <w:rsid w:val="00643EBE"/>
    <w:rsid w:val="00646F3D"/>
    <w:rsid w:val="00646F80"/>
    <w:rsid w:val="00650CEF"/>
    <w:rsid w:val="0065606B"/>
    <w:rsid w:val="006610AE"/>
    <w:rsid w:val="00661B8B"/>
    <w:rsid w:val="00662F47"/>
    <w:rsid w:val="0066358B"/>
    <w:rsid w:val="006653C2"/>
    <w:rsid w:val="006657E8"/>
    <w:rsid w:val="00667566"/>
    <w:rsid w:val="0067170A"/>
    <w:rsid w:val="0067202A"/>
    <w:rsid w:val="006773C5"/>
    <w:rsid w:val="00686B1B"/>
    <w:rsid w:val="0069083C"/>
    <w:rsid w:val="0069402D"/>
    <w:rsid w:val="00695015"/>
    <w:rsid w:val="006A49B1"/>
    <w:rsid w:val="006A5503"/>
    <w:rsid w:val="006A7B86"/>
    <w:rsid w:val="006B06B7"/>
    <w:rsid w:val="006B1AD0"/>
    <w:rsid w:val="006B2849"/>
    <w:rsid w:val="006B2913"/>
    <w:rsid w:val="006B7C81"/>
    <w:rsid w:val="006B7F87"/>
    <w:rsid w:val="006C1421"/>
    <w:rsid w:val="006C639D"/>
    <w:rsid w:val="006C7C17"/>
    <w:rsid w:val="006D093B"/>
    <w:rsid w:val="006D19E6"/>
    <w:rsid w:val="006D21E2"/>
    <w:rsid w:val="006D42C5"/>
    <w:rsid w:val="006E0C83"/>
    <w:rsid w:val="006E16C7"/>
    <w:rsid w:val="006E27DF"/>
    <w:rsid w:val="006F1149"/>
    <w:rsid w:val="006F7641"/>
    <w:rsid w:val="00700710"/>
    <w:rsid w:val="007028C6"/>
    <w:rsid w:val="00703528"/>
    <w:rsid w:val="007061BB"/>
    <w:rsid w:val="00707727"/>
    <w:rsid w:val="00707FBD"/>
    <w:rsid w:val="00713220"/>
    <w:rsid w:val="00713249"/>
    <w:rsid w:val="00714BB1"/>
    <w:rsid w:val="0071685D"/>
    <w:rsid w:val="0071697D"/>
    <w:rsid w:val="00717B5A"/>
    <w:rsid w:val="0072189F"/>
    <w:rsid w:val="00724463"/>
    <w:rsid w:val="0072697F"/>
    <w:rsid w:val="00726FD6"/>
    <w:rsid w:val="007311C7"/>
    <w:rsid w:val="00734521"/>
    <w:rsid w:val="00735112"/>
    <w:rsid w:val="00737451"/>
    <w:rsid w:val="007376E1"/>
    <w:rsid w:val="007404EF"/>
    <w:rsid w:val="00741261"/>
    <w:rsid w:val="007424AE"/>
    <w:rsid w:val="00743F6E"/>
    <w:rsid w:val="00746E27"/>
    <w:rsid w:val="00756515"/>
    <w:rsid w:val="00760718"/>
    <w:rsid w:val="00761AD7"/>
    <w:rsid w:val="00762F2C"/>
    <w:rsid w:val="00764BE3"/>
    <w:rsid w:val="00765B45"/>
    <w:rsid w:val="007718EE"/>
    <w:rsid w:val="0077345E"/>
    <w:rsid w:val="0078105D"/>
    <w:rsid w:val="007819E8"/>
    <w:rsid w:val="007837B4"/>
    <w:rsid w:val="00786553"/>
    <w:rsid w:val="00787B8D"/>
    <w:rsid w:val="00787FDD"/>
    <w:rsid w:val="00790253"/>
    <w:rsid w:val="00796D4C"/>
    <w:rsid w:val="00796FCF"/>
    <w:rsid w:val="007A198B"/>
    <w:rsid w:val="007A4C7E"/>
    <w:rsid w:val="007A65B6"/>
    <w:rsid w:val="007B2DDD"/>
    <w:rsid w:val="007B3C63"/>
    <w:rsid w:val="007B56A2"/>
    <w:rsid w:val="007B78C7"/>
    <w:rsid w:val="007B7B11"/>
    <w:rsid w:val="007C1511"/>
    <w:rsid w:val="007C19B2"/>
    <w:rsid w:val="007C68AE"/>
    <w:rsid w:val="007C6B99"/>
    <w:rsid w:val="007D3779"/>
    <w:rsid w:val="007D6F1D"/>
    <w:rsid w:val="007E12C8"/>
    <w:rsid w:val="007E2930"/>
    <w:rsid w:val="007E4DC4"/>
    <w:rsid w:val="007E577C"/>
    <w:rsid w:val="007F4686"/>
    <w:rsid w:val="00810962"/>
    <w:rsid w:val="00824ACF"/>
    <w:rsid w:val="00830D0A"/>
    <w:rsid w:val="00833CAA"/>
    <w:rsid w:val="00836A53"/>
    <w:rsid w:val="0084567B"/>
    <w:rsid w:val="0085045B"/>
    <w:rsid w:val="00850BD0"/>
    <w:rsid w:val="00850BE7"/>
    <w:rsid w:val="00860787"/>
    <w:rsid w:val="00863C1A"/>
    <w:rsid w:val="00867DAE"/>
    <w:rsid w:val="00867E18"/>
    <w:rsid w:val="00873BA1"/>
    <w:rsid w:val="00873E4C"/>
    <w:rsid w:val="0087766B"/>
    <w:rsid w:val="008812A8"/>
    <w:rsid w:val="00881A07"/>
    <w:rsid w:val="00883758"/>
    <w:rsid w:val="0088386F"/>
    <w:rsid w:val="00884146"/>
    <w:rsid w:val="0088624F"/>
    <w:rsid w:val="0089717E"/>
    <w:rsid w:val="008A39B8"/>
    <w:rsid w:val="008A451B"/>
    <w:rsid w:val="008B3771"/>
    <w:rsid w:val="008B3B2D"/>
    <w:rsid w:val="008B434F"/>
    <w:rsid w:val="008B576D"/>
    <w:rsid w:val="008B6BC8"/>
    <w:rsid w:val="008C2120"/>
    <w:rsid w:val="008C56D5"/>
    <w:rsid w:val="008C75C0"/>
    <w:rsid w:val="008D284E"/>
    <w:rsid w:val="008D34CA"/>
    <w:rsid w:val="008D37F4"/>
    <w:rsid w:val="008D4712"/>
    <w:rsid w:val="008E03DF"/>
    <w:rsid w:val="008F04AC"/>
    <w:rsid w:val="008F334A"/>
    <w:rsid w:val="008F6E30"/>
    <w:rsid w:val="009053C0"/>
    <w:rsid w:val="009302B4"/>
    <w:rsid w:val="009400F4"/>
    <w:rsid w:val="009404F5"/>
    <w:rsid w:val="00942EDA"/>
    <w:rsid w:val="00951808"/>
    <w:rsid w:val="0097143B"/>
    <w:rsid w:val="00974E97"/>
    <w:rsid w:val="0097656E"/>
    <w:rsid w:val="00976973"/>
    <w:rsid w:val="0098207F"/>
    <w:rsid w:val="00982C6E"/>
    <w:rsid w:val="00982D30"/>
    <w:rsid w:val="00984FF7"/>
    <w:rsid w:val="009853BD"/>
    <w:rsid w:val="00985EC1"/>
    <w:rsid w:val="009A09A5"/>
    <w:rsid w:val="009A32A6"/>
    <w:rsid w:val="009A66CB"/>
    <w:rsid w:val="009A75BC"/>
    <w:rsid w:val="009C0596"/>
    <w:rsid w:val="009C4963"/>
    <w:rsid w:val="009D1DEF"/>
    <w:rsid w:val="009D69EC"/>
    <w:rsid w:val="009E0B81"/>
    <w:rsid w:val="009E38A2"/>
    <w:rsid w:val="009E696A"/>
    <w:rsid w:val="00A011FE"/>
    <w:rsid w:val="00A042A3"/>
    <w:rsid w:val="00A1627E"/>
    <w:rsid w:val="00A17BFF"/>
    <w:rsid w:val="00A220EB"/>
    <w:rsid w:val="00A31DEA"/>
    <w:rsid w:val="00A3602C"/>
    <w:rsid w:val="00A41635"/>
    <w:rsid w:val="00A42A4A"/>
    <w:rsid w:val="00A467FD"/>
    <w:rsid w:val="00A52E72"/>
    <w:rsid w:val="00A56899"/>
    <w:rsid w:val="00A57867"/>
    <w:rsid w:val="00A63515"/>
    <w:rsid w:val="00A65827"/>
    <w:rsid w:val="00A70B30"/>
    <w:rsid w:val="00A72A3A"/>
    <w:rsid w:val="00A74425"/>
    <w:rsid w:val="00A77178"/>
    <w:rsid w:val="00A80338"/>
    <w:rsid w:val="00A853FD"/>
    <w:rsid w:val="00A86B34"/>
    <w:rsid w:val="00A964AF"/>
    <w:rsid w:val="00A96910"/>
    <w:rsid w:val="00AA4A5A"/>
    <w:rsid w:val="00AB7193"/>
    <w:rsid w:val="00AC0AF7"/>
    <w:rsid w:val="00AC5BA1"/>
    <w:rsid w:val="00AC6F44"/>
    <w:rsid w:val="00AD1360"/>
    <w:rsid w:val="00AD1CBE"/>
    <w:rsid w:val="00AD41FD"/>
    <w:rsid w:val="00AD6F98"/>
    <w:rsid w:val="00AD7713"/>
    <w:rsid w:val="00AE3FBA"/>
    <w:rsid w:val="00AE77B2"/>
    <w:rsid w:val="00AF2623"/>
    <w:rsid w:val="00AF4E2A"/>
    <w:rsid w:val="00AF6F78"/>
    <w:rsid w:val="00B029E8"/>
    <w:rsid w:val="00B04F80"/>
    <w:rsid w:val="00B12B73"/>
    <w:rsid w:val="00B15FC7"/>
    <w:rsid w:val="00B16B5D"/>
    <w:rsid w:val="00B20D14"/>
    <w:rsid w:val="00B20DB8"/>
    <w:rsid w:val="00B215A1"/>
    <w:rsid w:val="00B22BC6"/>
    <w:rsid w:val="00B22D98"/>
    <w:rsid w:val="00B23938"/>
    <w:rsid w:val="00B3006E"/>
    <w:rsid w:val="00B307A8"/>
    <w:rsid w:val="00B3430D"/>
    <w:rsid w:val="00B34A8B"/>
    <w:rsid w:val="00B36EA2"/>
    <w:rsid w:val="00B43B8E"/>
    <w:rsid w:val="00B443B4"/>
    <w:rsid w:val="00B45AB4"/>
    <w:rsid w:val="00B47C33"/>
    <w:rsid w:val="00B51F68"/>
    <w:rsid w:val="00B572B1"/>
    <w:rsid w:val="00B61167"/>
    <w:rsid w:val="00B62B3B"/>
    <w:rsid w:val="00B645C5"/>
    <w:rsid w:val="00B724A0"/>
    <w:rsid w:val="00B822C3"/>
    <w:rsid w:val="00B86178"/>
    <w:rsid w:val="00B93A85"/>
    <w:rsid w:val="00B94BDA"/>
    <w:rsid w:val="00BA42F3"/>
    <w:rsid w:val="00BA4AA1"/>
    <w:rsid w:val="00BB3F01"/>
    <w:rsid w:val="00BC0003"/>
    <w:rsid w:val="00BC1A96"/>
    <w:rsid w:val="00BC34EA"/>
    <w:rsid w:val="00BC3549"/>
    <w:rsid w:val="00BC3E41"/>
    <w:rsid w:val="00BC3EC3"/>
    <w:rsid w:val="00BC4C84"/>
    <w:rsid w:val="00BD029D"/>
    <w:rsid w:val="00BD0718"/>
    <w:rsid w:val="00BD3B81"/>
    <w:rsid w:val="00BD4950"/>
    <w:rsid w:val="00BD7E84"/>
    <w:rsid w:val="00BE5C14"/>
    <w:rsid w:val="00BF31AE"/>
    <w:rsid w:val="00BF3FE1"/>
    <w:rsid w:val="00BF54B4"/>
    <w:rsid w:val="00BF6F7D"/>
    <w:rsid w:val="00BF7821"/>
    <w:rsid w:val="00C007C0"/>
    <w:rsid w:val="00C00898"/>
    <w:rsid w:val="00C02F81"/>
    <w:rsid w:val="00C1217C"/>
    <w:rsid w:val="00C1418D"/>
    <w:rsid w:val="00C15129"/>
    <w:rsid w:val="00C155A7"/>
    <w:rsid w:val="00C15DA5"/>
    <w:rsid w:val="00C16536"/>
    <w:rsid w:val="00C1669C"/>
    <w:rsid w:val="00C224B5"/>
    <w:rsid w:val="00C26057"/>
    <w:rsid w:val="00C264A7"/>
    <w:rsid w:val="00C30C9C"/>
    <w:rsid w:val="00C32D75"/>
    <w:rsid w:val="00C36579"/>
    <w:rsid w:val="00C36C0A"/>
    <w:rsid w:val="00C3733A"/>
    <w:rsid w:val="00C37D4A"/>
    <w:rsid w:val="00C40926"/>
    <w:rsid w:val="00C41160"/>
    <w:rsid w:val="00C41ED1"/>
    <w:rsid w:val="00C42780"/>
    <w:rsid w:val="00C43397"/>
    <w:rsid w:val="00C44F13"/>
    <w:rsid w:val="00C509AC"/>
    <w:rsid w:val="00C535BB"/>
    <w:rsid w:val="00C66A88"/>
    <w:rsid w:val="00C729C8"/>
    <w:rsid w:val="00C74890"/>
    <w:rsid w:val="00C760A3"/>
    <w:rsid w:val="00C83DB5"/>
    <w:rsid w:val="00C86E8A"/>
    <w:rsid w:val="00C90609"/>
    <w:rsid w:val="00C90DD3"/>
    <w:rsid w:val="00C93D91"/>
    <w:rsid w:val="00C95DDE"/>
    <w:rsid w:val="00C96293"/>
    <w:rsid w:val="00CA0BFA"/>
    <w:rsid w:val="00CA4B1D"/>
    <w:rsid w:val="00CA6644"/>
    <w:rsid w:val="00CB19F4"/>
    <w:rsid w:val="00CB6482"/>
    <w:rsid w:val="00CC15F4"/>
    <w:rsid w:val="00CC3F56"/>
    <w:rsid w:val="00CC6E30"/>
    <w:rsid w:val="00CD4347"/>
    <w:rsid w:val="00CD50DA"/>
    <w:rsid w:val="00CD5701"/>
    <w:rsid w:val="00CD7F89"/>
    <w:rsid w:val="00CE6608"/>
    <w:rsid w:val="00CE7E54"/>
    <w:rsid w:val="00D01973"/>
    <w:rsid w:val="00D129D8"/>
    <w:rsid w:val="00D16392"/>
    <w:rsid w:val="00D339E3"/>
    <w:rsid w:val="00D42473"/>
    <w:rsid w:val="00D429D8"/>
    <w:rsid w:val="00D47FE5"/>
    <w:rsid w:val="00D56A26"/>
    <w:rsid w:val="00D651A9"/>
    <w:rsid w:val="00D6721E"/>
    <w:rsid w:val="00D70389"/>
    <w:rsid w:val="00D713FF"/>
    <w:rsid w:val="00D72BFB"/>
    <w:rsid w:val="00D73BF5"/>
    <w:rsid w:val="00D752B5"/>
    <w:rsid w:val="00D80AA6"/>
    <w:rsid w:val="00D81633"/>
    <w:rsid w:val="00D818C3"/>
    <w:rsid w:val="00D83CF0"/>
    <w:rsid w:val="00D924B8"/>
    <w:rsid w:val="00D95397"/>
    <w:rsid w:val="00D97068"/>
    <w:rsid w:val="00DA6BD2"/>
    <w:rsid w:val="00DB0DE8"/>
    <w:rsid w:val="00DB2880"/>
    <w:rsid w:val="00DB34CC"/>
    <w:rsid w:val="00DB5672"/>
    <w:rsid w:val="00DC0738"/>
    <w:rsid w:val="00DC10C2"/>
    <w:rsid w:val="00DC38ED"/>
    <w:rsid w:val="00DD168B"/>
    <w:rsid w:val="00DD2F2A"/>
    <w:rsid w:val="00DD619C"/>
    <w:rsid w:val="00DD6D73"/>
    <w:rsid w:val="00DD6E32"/>
    <w:rsid w:val="00DE57B6"/>
    <w:rsid w:val="00DF0D9E"/>
    <w:rsid w:val="00DF129B"/>
    <w:rsid w:val="00DF4310"/>
    <w:rsid w:val="00DF45DA"/>
    <w:rsid w:val="00DF76DD"/>
    <w:rsid w:val="00DF7798"/>
    <w:rsid w:val="00E1115C"/>
    <w:rsid w:val="00E11C23"/>
    <w:rsid w:val="00E14675"/>
    <w:rsid w:val="00E30F6A"/>
    <w:rsid w:val="00E42988"/>
    <w:rsid w:val="00E42C49"/>
    <w:rsid w:val="00E42C78"/>
    <w:rsid w:val="00E44EEC"/>
    <w:rsid w:val="00E55C3A"/>
    <w:rsid w:val="00E571CF"/>
    <w:rsid w:val="00E6046A"/>
    <w:rsid w:val="00E66BFC"/>
    <w:rsid w:val="00E74CC5"/>
    <w:rsid w:val="00E765BE"/>
    <w:rsid w:val="00E771DA"/>
    <w:rsid w:val="00E83069"/>
    <w:rsid w:val="00E83690"/>
    <w:rsid w:val="00E84811"/>
    <w:rsid w:val="00E91F0C"/>
    <w:rsid w:val="00E92FDF"/>
    <w:rsid w:val="00E94A17"/>
    <w:rsid w:val="00E960EF"/>
    <w:rsid w:val="00E975E1"/>
    <w:rsid w:val="00EA2FAF"/>
    <w:rsid w:val="00EB1275"/>
    <w:rsid w:val="00EB284C"/>
    <w:rsid w:val="00EB474B"/>
    <w:rsid w:val="00EB6088"/>
    <w:rsid w:val="00EB71E8"/>
    <w:rsid w:val="00EC1E0E"/>
    <w:rsid w:val="00EC3CAB"/>
    <w:rsid w:val="00EE12F0"/>
    <w:rsid w:val="00EF52DA"/>
    <w:rsid w:val="00EF6641"/>
    <w:rsid w:val="00F1301B"/>
    <w:rsid w:val="00F175A3"/>
    <w:rsid w:val="00F17BEB"/>
    <w:rsid w:val="00F225E1"/>
    <w:rsid w:val="00F24300"/>
    <w:rsid w:val="00F31712"/>
    <w:rsid w:val="00F33318"/>
    <w:rsid w:val="00F33B65"/>
    <w:rsid w:val="00F3798D"/>
    <w:rsid w:val="00F41622"/>
    <w:rsid w:val="00F41E2B"/>
    <w:rsid w:val="00F42311"/>
    <w:rsid w:val="00F42FF0"/>
    <w:rsid w:val="00F47CA4"/>
    <w:rsid w:val="00F510D4"/>
    <w:rsid w:val="00F534CF"/>
    <w:rsid w:val="00F57A88"/>
    <w:rsid w:val="00F63048"/>
    <w:rsid w:val="00F633BC"/>
    <w:rsid w:val="00F64BF6"/>
    <w:rsid w:val="00F65D7C"/>
    <w:rsid w:val="00F8718A"/>
    <w:rsid w:val="00FA25DB"/>
    <w:rsid w:val="00FA4611"/>
    <w:rsid w:val="00FA5593"/>
    <w:rsid w:val="00FA67AA"/>
    <w:rsid w:val="00FA71C7"/>
    <w:rsid w:val="00FB075B"/>
    <w:rsid w:val="00FB4A0A"/>
    <w:rsid w:val="00FB65C1"/>
    <w:rsid w:val="00FC1FF2"/>
    <w:rsid w:val="00FD550C"/>
    <w:rsid w:val="00FD67A0"/>
    <w:rsid w:val="00FD7C13"/>
    <w:rsid w:val="00FE6BF7"/>
    <w:rsid w:val="00FE715D"/>
    <w:rsid w:val="00FF29CF"/>
    <w:rsid w:val="07E33129"/>
    <w:rsid w:val="0E58CBA1"/>
    <w:rsid w:val="105AA7D9"/>
    <w:rsid w:val="134A2A7E"/>
    <w:rsid w:val="1646ECE6"/>
    <w:rsid w:val="1E032218"/>
    <w:rsid w:val="1E61733A"/>
    <w:rsid w:val="2080410D"/>
    <w:rsid w:val="2143AC7F"/>
    <w:rsid w:val="283E3CA7"/>
    <w:rsid w:val="295B704C"/>
    <w:rsid w:val="2DC8992A"/>
    <w:rsid w:val="3092A631"/>
    <w:rsid w:val="33ACBDE0"/>
    <w:rsid w:val="3443F51E"/>
    <w:rsid w:val="36E3C72A"/>
    <w:rsid w:val="39371A63"/>
    <w:rsid w:val="3A8440E2"/>
    <w:rsid w:val="3C1F1524"/>
    <w:rsid w:val="420DB716"/>
    <w:rsid w:val="43A88B58"/>
    <w:rsid w:val="49EB66D2"/>
    <w:rsid w:val="4B684D5A"/>
    <w:rsid w:val="4D9BEC71"/>
    <w:rsid w:val="5569F3F2"/>
    <w:rsid w:val="5A95FF53"/>
    <w:rsid w:val="5B472937"/>
    <w:rsid w:val="5DF444A3"/>
    <w:rsid w:val="5E56F67B"/>
    <w:rsid w:val="5EB5479D"/>
    <w:rsid w:val="61A759F8"/>
    <w:rsid w:val="660E01A9"/>
    <w:rsid w:val="6FA5D427"/>
    <w:rsid w:val="7530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29B0"/>
  <w15:chartTrackingRefBased/>
  <w15:docId w15:val="{924AC414-926F-4806-9437-CFACC40A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17E"/>
    <w:pPr>
      <w:ind w:left="720"/>
      <w:contextualSpacing/>
    </w:pPr>
  </w:style>
  <w:style w:type="table" w:styleId="TableGrid">
    <w:name w:val="Table Grid"/>
    <w:basedOn w:val="TableNormal"/>
    <w:uiPriority w:val="39"/>
    <w:rsid w:val="0089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F81"/>
  </w:style>
  <w:style w:type="paragraph" w:styleId="Footer">
    <w:name w:val="footer"/>
    <w:basedOn w:val="Normal"/>
    <w:link w:val="FooterChar"/>
    <w:uiPriority w:val="99"/>
    <w:unhideWhenUsed/>
    <w:rsid w:val="00C0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412DAFCFF5C4C8C46CF46760333A8" ma:contentTypeVersion="14" ma:contentTypeDescription="Create a new document." ma:contentTypeScope="" ma:versionID="907ab73721f0224ba1e4adc4130a0fab">
  <xsd:schema xmlns:xsd="http://www.w3.org/2001/XMLSchema" xmlns:xs="http://www.w3.org/2001/XMLSchema" xmlns:p="http://schemas.microsoft.com/office/2006/metadata/properties" xmlns:ns2="0e02b249-8f7e-424e-9e95-a6048e65edbd" xmlns:ns3="31c3e871-8726-4337-91cb-09520435903f" targetNamespace="http://schemas.microsoft.com/office/2006/metadata/properties" ma:root="true" ma:fieldsID="df55aabd137014f1edd0279feabe256d" ns2:_="" ns3:_="">
    <xsd:import namespace="0e02b249-8f7e-424e-9e95-a6048e65edbd"/>
    <xsd:import namespace="31c3e871-8726-4337-91cb-095204359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2b249-8f7e-424e-9e95-a6048e65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8eac88-128d-4e9e-964f-e2ad1bcbd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3e871-8726-4337-91cb-095204359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ad4a77-6f1e-4983-9439-3107c9582c31}" ma:internalName="TaxCatchAll" ma:showField="CatchAllData" ma:web="31c3e871-8726-4337-91cb-095204359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02b249-8f7e-424e-9e95-a6048e65edbd">
      <Terms xmlns="http://schemas.microsoft.com/office/infopath/2007/PartnerControls"/>
    </lcf76f155ced4ddcb4097134ff3c332f>
    <TaxCatchAll xmlns="31c3e871-8726-4337-91cb-09520435903f" xsi:nil="true"/>
  </documentManagement>
</p:properties>
</file>

<file path=customXml/itemProps1.xml><?xml version="1.0" encoding="utf-8"?>
<ds:datastoreItem xmlns:ds="http://schemas.openxmlformats.org/officeDocument/2006/customXml" ds:itemID="{2E643640-0C26-4B48-A480-7D5623EA6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47150-9C2E-4196-8ADF-146B4E708E4F}"/>
</file>

<file path=customXml/itemProps3.xml><?xml version="1.0" encoding="utf-8"?>
<ds:datastoreItem xmlns:ds="http://schemas.openxmlformats.org/officeDocument/2006/customXml" ds:itemID="{502932A6-B034-45B9-A9C2-BF96226FB24D}"/>
</file>

<file path=customXml/itemProps4.xml><?xml version="1.0" encoding="utf-8"?>
<ds:datastoreItem xmlns:ds="http://schemas.openxmlformats.org/officeDocument/2006/customXml" ds:itemID="{AD8F8E70-41B4-4AC3-AB29-92C4628C2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Fraser</dc:creator>
  <cp:keywords/>
  <dc:description/>
  <cp:lastModifiedBy>Christine Fraser</cp:lastModifiedBy>
  <cp:revision>7</cp:revision>
  <cp:lastPrinted>2023-11-03T18:44:00Z</cp:lastPrinted>
  <dcterms:created xsi:type="dcterms:W3CDTF">2023-09-25T20:41:00Z</dcterms:created>
  <dcterms:modified xsi:type="dcterms:W3CDTF">2023-11-03T19:48:00Z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0x01010066C412DAFCFF5C4C8C46CF46760333A8</vt:lpwstr>
  </property>
</Properties>
</file>